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优化审批服务事项落实要求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一、改革方式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优化审批服务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40"/>
        </w:rPr>
        <w:t>二、行政许可事项名称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药品批发企业经营蛋白同化制剂、肽类激素审批 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三、主管部门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西咸新区市场监督管理局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四、审批部门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西咸新区市场监督管理局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五、行政许可事项设定依据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反兴奋剂条例》（2004年1月13日国务院令第398号，2014年7月29日予以修改）第九条：依照药品管理法的规定取得《药品经营许可证》的药品批发企业，具备下列条件，并经省、自治区、直辖市人民政府食品药品监督管理部门批准，方可经营蛋白同化制剂、肽类激素： （一）有专门的管理人员； （二）有专储仓库或者专储药柜； （三）有专门的验收、检查、保管、销售和出入库登记制度； （四）法律、行政法规规定的其他条件。蛋白同化制剂、肽类激素的验收、检查、保管、销售和出入库登记记录应当保存至超过蛋白同化制剂、肽类激素有效期2年。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六、准予许可条件、标准和技术要求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1.依法取得《药品经营许可证》的药品批发企业；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2.企业具有一名以上专业技术人员进行专门管理；该专业技术人员不低于药学专科学历、具有主管药师以上技术职称，3年以上从事药品质量管理工作经验，在职在岗；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3.具有经营蛋白同化制剂、肽类激素相适应的符合安全要求的专库或专柜，实行双人双锁管理；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4.企业应有与经营蛋白同化制剂、肽类激素相适应的验收、检查、养护、保管、销售、出入库登记等制度。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七、具体改革举措及主要理由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细化委托审批事项流程及程序，完善特殊管理药品办事指南。不再要求申请人提供药品经营许可证、药品经营质量管理规范（GSP）证书等材料。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八、应当提交的材料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应当提交下列材料：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1.药品批发企业经营蛋白同化制剂、肽类激素审批申请报告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2.企业营业执照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3.法人委托书（企业如拟由分支机构承担经营活动，应当出具法人委托书）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4.企业经营规模、效益等经济指标情况说明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5.企业周边环境图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6.总平面布置图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7.仓储平面布置图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8.经营场所平面布置图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9.产权证明或房屋租赁合同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10.储存设施、设备目录，安全设施明细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11.企业以及其工作人员最近2年内没有违反有关禁毒法律、行政法规规定行为的情况说明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12.蛋白同化制剂、肽类激素经营安全的相关管理制度文件目录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13.向药品监督管理部门或其指定机构报送经营信息的网络说明材料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14.企业报送经营信息网络操作手册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15.申请材料真实性的自我保证声明，并对材料作出如有虚假承担法律责任的承诺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16.授权委托书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</w:rPr>
        <w:t>九、办理流程图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药品批发企业经营蛋白同化制剂、肽类激素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审批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事项办理流程图</w:t>
      </w:r>
    </w:p>
    <w:p>
      <w:pPr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260985</wp:posOffset>
            </wp:positionV>
            <wp:extent cx="4981575" cy="5372100"/>
            <wp:effectExtent l="0" t="0" r="9525" b="0"/>
            <wp:wrapTopAndBottom/>
            <wp:docPr id="1" name="图片 2" descr="163263701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632637018(1)"/>
                    <pic:cNvPicPr>
                      <a:picLocks noChangeAspect="1"/>
                    </pic:cNvPicPr>
                  </pic:nvPicPr>
                  <pic:blipFill>
                    <a:blip r:embed="rId4"/>
                    <a:srcRect t="9760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十、加强事中事后监管措施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1.严格执行有关法律法规和规章，对特殊药品生产、经营企业加强监管。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2.实施重点监管，发现违法违规行为要依法严查重处。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3.及时向社会公开许可信息，加强社会监督。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117409"/>
    <w:rsid w:val="6B63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zwzx-666</dc:creator>
  <cp:lastModifiedBy>答案</cp:lastModifiedBy>
  <dcterms:modified xsi:type="dcterms:W3CDTF">2021-10-12T01:51:51Z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BE7FB05B7AFF4E7BA5D636168413DA57</vt:lpwstr>
  </property>
</Properties>
</file>